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527D652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471E8E">
        <w:rPr>
          <w:bCs/>
          <w:noProof w:val="0"/>
          <w:sz w:val="24"/>
          <w:szCs w:val="24"/>
        </w:rPr>
        <w:t>30</w:t>
      </w:r>
      <w:r w:rsidRPr="00B266B0">
        <w:rPr>
          <w:bCs/>
          <w:noProof w:val="0"/>
          <w:sz w:val="24"/>
          <w:szCs w:val="24"/>
        </w:rPr>
        <w:tab/>
      </w:r>
      <w:r w:rsidR="00B50369">
        <w:rPr>
          <w:bCs/>
          <w:noProof w:val="0"/>
          <w:sz w:val="24"/>
          <w:szCs w:val="24"/>
        </w:rPr>
        <w:t>R2-2</w:t>
      </w:r>
      <w:r w:rsidR="00AF7BE6">
        <w:rPr>
          <w:bCs/>
          <w:noProof w:val="0"/>
          <w:sz w:val="24"/>
          <w:szCs w:val="24"/>
        </w:rPr>
        <w:t>5</w:t>
      </w:r>
      <w:r w:rsidR="007D6655">
        <w:rPr>
          <w:bCs/>
          <w:noProof w:val="0"/>
          <w:sz w:val="24"/>
          <w:szCs w:val="24"/>
        </w:rPr>
        <w:t>0</w:t>
      </w:r>
      <w:r w:rsidR="002639EF">
        <w:rPr>
          <w:bCs/>
          <w:noProof w:val="0"/>
          <w:sz w:val="24"/>
          <w:szCs w:val="24"/>
        </w:rPr>
        <w:t>4092</w:t>
      </w:r>
    </w:p>
    <w:p w14:paraId="11776FA6" w14:textId="179C017B" w:rsidR="00A209D6" w:rsidRPr="00465587" w:rsidRDefault="002639EF" w:rsidP="00A209D6">
      <w:pPr>
        <w:pStyle w:val="Header"/>
        <w:tabs>
          <w:tab w:val="right" w:pos="9639"/>
        </w:tabs>
        <w:rPr>
          <w:bCs/>
          <w:sz w:val="24"/>
          <w:szCs w:val="24"/>
          <w:lang w:eastAsia="zh-CN"/>
        </w:rPr>
      </w:pPr>
      <w:r>
        <w:rPr>
          <w:bCs/>
          <w:sz w:val="24"/>
          <w:szCs w:val="24"/>
          <w:lang w:eastAsia="zh-CN"/>
        </w:rPr>
        <w:t>Malta</w:t>
      </w:r>
      <w:r w:rsidR="00471E8E">
        <w:rPr>
          <w:bCs/>
          <w:sz w:val="24"/>
          <w:szCs w:val="24"/>
          <w:lang w:eastAsia="zh-CN"/>
        </w:rPr>
        <w:t>, Malta</w:t>
      </w:r>
      <w:r w:rsidR="003C2C5D">
        <w:rPr>
          <w:bCs/>
          <w:sz w:val="24"/>
          <w:szCs w:val="24"/>
          <w:lang w:eastAsia="zh-CN"/>
        </w:rPr>
        <w:t xml:space="preserve">, </w:t>
      </w:r>
      <w:r w:rsidR="00471E8E">
        <w:rPr>
          <w:bCs/>
          <w:sz w:val="24"/>
          <w:szCs w:val="24"/>
          <w:lang w:eastAsia="zh-CN"/>
        </w:rPr>
        <w:t>19</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sidR="00471E8E">
        <w:rPr>
          <w:bCs/>
          <w:sz w:val="24"/>
          <w:szCs w:val="24"/>
          <w:lang w:eastAsia="zh-CN"/>
        </w:rPr>
        <w:t>23</w:t>
      </w:r>
      <w:r w:rsidR="00471E8E" w:rsidRPr="00471E8E">
        <w:rPr>
          <w:bCs/>
          <w:sz w:val="24"/>
          <w:szCs w:val="24"/>
          <w:vertAlign w:val="superscript"/>
          <w:lang w:eastAsia="zh-CN"/>
        </w:rPr>
        <w:t>rd</w:t>
      </w:r>
      <w:r w:rsidR="0037453E">
        <w:rPr>
          <w:bCs/>
          <w:sz w:val="24"/>
          <w:szCs w:val="24"/>
          <w:lang w:eastAsia="zh-CN"/>
        </w:rPr>
        <w:t xml:space="preserve"> </w:t>
      </w:r>
      <w:r w:rsidR="00471E8E">
        <w:rPr>
          <w:bCs/>
          <w:sz w:val="24"/>
          <w:szCs w:val="24"/>
          <w:lang w:eastAsia="zh-CN"/>
        </w:rPr>
        <w:t>May</w:t>
      </w:r>
      <w:r w:rsidR="00B46E85">
        <w:rPr>
          <w:bCs/>
          <w:sz w:val="24"/>
          <w:szCs w:val="24"/>
          <w:lang w:eastAsia="zh-CN"/>
        </w:rPr>
        <w:t>,</w:t>
      </w:r>
      <w:r w:rsidR="006E1057" w:rsidRPr="006E1057">
        <w:rPr>
          <w:bCs/>
          <w:sz w:val="24"/>
          <w:szCs w:val="24"/>
          <w:lang w:eastAsia="zh-CN"/>
        </w:rPr>
        <w:t xml:space="preserve"> 202</w:t>
      </w:r>
      <w:r w:rsidR="00AF7BE6">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FD5BC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1167">
        <w:rPr>
          <w:rFonts w:cs="Arial"/>
          <w:b/>
          <w:bCs/>
          <w:sz w:val="24"/>
        </w:rPr>
        <w:t>8.9.4</w:t>
      </w:r>
    </w:p>
    <w:p w14:paraId="73188B46" w14:textId="4004E70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r w:rsidR="007F1D5F">
        <w:rPr>
          <w:rFonts w:eastAsia="SimSun"/>
          <w:b/>
          <w:bCs/>
          <w:sz w:val="24"/>
          <w:szCs w:val="20"/>
          <w:lang w:val="en-GB" w:eastAsia="en-US"/>
        </w:rPr>
        <w:t>, Iridium, Vivo</w:t>
      </w:r>
      <w:r w:rsidR="00471E8E">
        <w:rPr>
          <w:rFonts w:eastAsia="SimSun"/>
          <w:b/>
          <w:bCs/>
          <w:sz w:val="24"/>
          <w:szCs w:val="20"/>
          <w:lang w:val="en-GB" w:eastAsia="en-US"/>
        </w:rPr>
        <w:t xml:space="preserve">, </w:t>
      </w:r>
      <w:r w:rsidR="0019695D">
        <w:rPr>
          <w:rFonts w:eastAsia="SimSun"/>
          <w:b/>
          <w:bCs/>
          <w:sz w:val="24"/>
          <w:szCs w:val="20"/>
          <w:lang w:val="en-GB" w:eastAsia="en-US"/>
        </w:rPr>
        <w:t>Thales</w:t>
      </w:r>
    </w:p>
    <w:p w14:paraId="0FA3EF00" w14:textId="5107CBE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96E33">
        <w:rPr>
          <w:rFonts w:eastAsia="SimSun"/>
          <w:b/>
          <w:bCs/>
          <w:sz w:val="24"/>
          <w:szCs w:val="20"/>
          <w:lang w:val="en-GB" w:eastAsia="en-US"/>
        </w:rPr>
        <w:t xml:space="preserve">Acceptable cell </w:t>
      </w:r>
      <w:r w:rsidR="007F1D5F">
        <w:rPr>
          <w:rFonts w:eastAsia="SimSun"/>
          <w:b/>
          <w:bCs/>
          <w:sz w:val="24"/>
          <w:szCs w:val="20"/>
          <w:lang w:val="en-GB" w:eastAsia="en-US"/>
        </w:rPr>
        <w:t xml:space="preserve">camping </w:t>
      </w:r>
      <w:r w:rsidR="00496E33">
        <w:rPr>
          <w:rFonts w:eastAsia="SimSun"/>
          <w:b/>
          <w:bCs/>
          <w:sz w:val="24"/>
          <w:szCs w:val="20"/>
          <w:lang w:val="en-GB" w:eastAsia="en-US"/>
        </w:rPr>
        <w:t>for NB-IoT</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12C5DD6B" w:rsidR="00F61EF6" w:rsidRDefault="0049280D" w:rsidP="00F61EF6">
      <w:r>
        <w:t>In RAN#10</w:t>
      </w:r>
      <w:r w:rsidR="00496E33">
        <w:t>7</w:t>
      </w:r>
      <w:r>
        <w:t xml:space="preserve"> the latest WID for IoT NTN Phase 3 </w:t>
      </w:r>
      <w:r w:rsidR="007E5517">
        <w:t>was agreed</w:t>
      </w:r>
      <w:r>
        <w:t xml:space="preserve"> [</w:t>
      </w:r>
      <w:r w:rsidR="00C20827">
        <w:t>1</w:t>
      </w:r>
      <w:r>
        <w:t>]</w:t>
      </w:r>
      <w:r w:rsidR="007E5517">
        <w:t>, where the PWS component is the following</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D040E4">
        <w:trPr>
          <w:trHeight w:val="1338"/>
        </w:trPr>
        <w:tc>
          <w:tcPr>
            <w:tcW w:w="9631" w:type="dxa"/>
          </w:tcPr>
          <w:p w14:paraId="1FDDAED1" w14:textId="77777777" w:rsidR="00D040E4" w:rsidRPr="00D040E4" w:rsidRDefault="00D040E4" w:rsidP="00D040E4">
            <w:pPr>
              <w:numPr>
                <w:ilvl w:val="0"/>
                <w:numId w:val="12"/>
              </w:numPr>
              <w:overflowPunct w:val="0"/>
              <w:autoSpaceDE w:val="0"/>
              <w:autoSpaceDN w:val="0"/>
              <w:adjustRightInd w:val="0"/>
              <w:textAlignment w:val="baseline"/>
              <w:rPr>
                <w:rFonts w:ascii="Times New Roman" w:eastAsia="Times New Roman" w:hAnsi="Times New Roman" w:cs="Times New Roman"/>
                <w:bCs/>
                <w:szCs w:val="20"/>
                <w:lang w:val="en-GB"/>
              </w:rPr>
            </w:pPr>
            <w:bookmarkStart w:id="0" w:name="OLE_LINK79"/>
            <w:r w:rsidRPr="00D040E4">
              <w:rPr>
                <w:rFonts w:ascii="Times New Roman" w:eastAsia="Times New Roman" w:hAnsi="Times New Roman" w:cs="Times New Roman"/>
                <w:bCs/>
                <w:szCs w:val="20"/>
                <w:lang w:val="en-GB"/>
              </w:rPr>
              <w:t>Support broadcast of PWS messages for NB-IoT re-using the LTE mechanisms [RAN2]</w:t>
            </w:r>
            <w:bookmarkEnd w:id="0"/>
          </w:p>
          <w:p w14:paraId="03DA2A67" w14:textId="16DA5483"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1" w:name="OLE_LINK22"/>
            <w:r w:rsidRPr="00D040E4">
              <w:rPr>
                <w:rFonts w:ascii="Times New Roman" w:eastAsia="Times New Roman" w:hAnsi="Times New Roman" w:cs="Times New Roman"/>
                <w:bCs/>
                <w:szCs w:val="20"/>
                <w:lang w:val="en-GB"/>
              </w:rPr>
              <w:t>The solutions will be developed for NTN but can be applicab</w:t>
            </w:r>
            <w:bookmarkStart w:id="2" w:name="_GoBack"/>
            <w:bookmarkEnd w:id="2"/>
            <w:r w:rsidRPr="00D040E4">
              <w:rPr>
                <w:rFonts w:ascii="Times New Roman" w:eastAsia="Times New Roman" w:hAnsi="Times New Roman" w:cs="Times New Roman"/>
                <w:bCs/>
                <w:szCs w:val="20"/>
                <w:lang w:val="en-GB"/>
              </w:rPr>
              <w:t>le to TN (if possible</w:t>
            </w:r>
            <w:bookmarkEnd w:id="1"/>
            <w:r w:rsidRPr="00D040E4">
              <w:rPr>
                <w:rFonts w:ascii="Times New Roman" w:eastAsia="Times New Roman" w:hAnsi="Times New Roman" w:cs="Times New Roman"/>
                <w:bCs/>
                <w:szCs w:val="20"/>
                <w:lang w:val="en-GB"/>
              </w:rPr>
              <w:t xml:space="preserve">). </w:t>
            </w:r>
            <w:bookmarkStart w:id="3" w:name="OLE_LINK25"/>
            <w:r w:rsidRPr="00D040E4">
              <w:rPr>
                <w:rFonts w:ascii="Times New Roman" w:eastAsia="Times New Roman" w:hAnsi="Times New Roman" w:cs="Times New Roman"/>
                <w:bCs/>
                <w:szCs w:val="20"/>
                <w:lang w:val="en-GB"/>
              </w:rPr>
              <w:t>Specific NB-IoT TN optimizations will not be considered as part of this WI</w:t>
            </w:r>
            <w:bookmarkEnd w:id="3"/>
            <w:r w:rsidRPr="00D040E4">
              <w:rPr>
                <w:rFonts w:ascii="Times New Roman" w:eastAsia="Times New Roman" w:hAnsi="Times New Roman" w:cs="Times New Roman"/>
                <w:bCs/>
                <w:szCs w:val="20"/>
                <w:lang w:val="en-GB"/>
              </w:rPr>
              <w:t>.</w:t>
            </w:r>
            <w:bookmarkStart w:id="4" w:name="OLE_LINK49"/>
          </w:p>
          <w:p w14:paraId="1041A589" w14:textId="1D57806B" w:rsidR="00D040E4" w:rsidRPr="00D040E4" w:rsidRDefault="00D040E4" w:rsidP="00D040E4">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 xml:space="preserve">Note: </w:t>
            </w:r>
            <w:bookmarkStart w:id="5" w:name="OLE_LINK31"/>
            <w:bookmarkStart w:id="6" w:name="OLE_LINK28"/>
            <w:r w:rsidRPr="00D040E4">
              <w:rPr>
                <w:rFonts w:ascii="Times New Roman" w:eastAsia="Times New Roman" w:hAnsi="Times New Roman" w:cs="Times New Roman"/>
                <w:bCs/>
                <w:szCs w:val="20"/>
                <w:lang w:val="en-GB"/>
              </w:rPr>
              <w:t xml:space="preserve">Support for </w:t>
            </w:r>
            <w:bookmarkStart w:id="7" w:name="OLE_LINK32"/>
            <w:r w:rsidRPr="00D040E4">
              <w:rPr>
                <w:rFonts w:ascii="Times New Roman" w:eastAsia="Times New Roman" w:hAnsi="Times New Roman" w:cs="Times New Roman"/>
                <w:bCs/>
                <w:szCs w:val="20"/>
                <w:lang w:val="en-GB"/>
              </w:rPr>
              <w:t>indication of intended service area</w:t>
            </w:r>
            <w:bookmarkEnd w:id="7"/>
            <w:r w:rsidRPr="00D040E4">
              <w:rPr>
                <w:rFonts w:ascii="Times New Roman" w:eastAsia="Times New Roman" w:hAnsi="Times New Roman" w:cs="Times New Roman"/>
                <w:bCs/>
                <w:szCs w:val="20"/>
                <w:lang w:val="en-GB"/>
              </w:rPr>
              <w:t xml:space="preserve"> </w:t>
            </w:r>
            <w:bookmarkEnd w:id="5"/>
            <w:r w:rsidRPr="00D040E4">
              <w:rPr>
                <w:rFonts w:ascii="Times New Roman" w:eastAsia="Times New Roman" w:hAnsi="Times New Roman" w:cs="Times New Roman"/>
                <w:bCs/>
                <w:szCs w:val="20"/>
                <w:lang w:val="en-GB"/>
              </w:rPr>
              <w:t>for ETWS will be considered based on NR NTN discussions</w:t>
            </w:r>
            <w:bookmarkEnd w:id="6"/>
            <w:r w:rsidRPr="00D040E4">
              <w:rPr>
                <w:rFonts w:ascii="Times New Roman" w:eastAsia="Times New Roman" w:hAnsi="Times New Roman" w:cs="Times New Roman"/>
                <w:bCs/>
                <w:szCs w:val="20"/>
                <w:lang w:val="en-GB"/>
              </w:rPr>
              <w:t>/outcome.</w:t>
            </w:r>
            <w:bookmarkEnd w:id="4"/>
          </w:p>
          <w:p w14:paraId="3F5AE005" w14:textId="6E2C6B09" w:rsidR="00D040E4" w:rsidRPr="007E5517" w:rsidRDefault="00D040E4" w:rsidP="007E5517">
            <w:pPr>
              <w:overflowPunct w:val="0"/>
              <w:autoSpaceDE w:val="0"/>
              <w:autoSpaceDN w:val="0"/>
              <w:adjustRightInd w:val="0"/>
              <w:spacing w:after="0"/>
              <w:ind w:left="720"/>
              <w:textAlignment w:val="baseline"/>
              <w:rPr>
                <w:rFonts w:ascii="Times New Roman" w:eastAsia="Times New Roman" w:hAnsi="Times New Roman" w:cs="Times New Roman"/>
                <w:bCs/>
                <w:szCs w:val="20"/>
                <w:lang w:val="en-GB"/>
              </w:rPr>
            </w:pPr>
            <w:r w:rsidRPr="00D040E4">
              <w:rPr>
                <w:rFonts w:ascii="Times New Roman" w:eastAsia="Times New Roman" w:hAnsi="Times New Roman" w:cs="Times New Roman"/>
                <w:bCs/>
                <w:szCs w:val="20"/>
                <w:lang w:val="en-GB"/>
              </w:rPr>
              <w:t>Note: PWS notifications in paging, direct indication, and system information in RRC connected mode is not supported.</w:t>
            </w:r>
          </w:p>
        </w:tc>
      </w:tr>
    </w:tbl>
    <w:p w14:paraId="2F01C903" w14:textId="0A5BFFC2" w:rsidR="00C25AEA" w:rsidRDefault="00C25AEA" w:rsidP="00F00A10"/>
    <w:p w14:paraId="66CEE32F" w14:textId="0406F847" w:rsidR="00F00A10" w:rsidRPr="00F97E01" w:rsidRDefault="00C702D5" w:rsidP="00F00A10">
      <w:pPr>
        <w:rPr>
          <w:lang w:eastAsia="ko-KR"/>
        </w:rPr>
      </w:pPr>
      <w:r>
        <w:t xml:space="preserve">In this contribution, </w:t>
      </w:r>
      <w:r w:rsidR="007C5B71">
        <w:t xml:space="preserve">we provide some </w:t>
      </w:r>
      <w:r w:rsidR="0051202F">
        <w:t xml:space="preserve">discussions related to </w:t>
      </w:r>
      <w:r w:rsidR="00DF1167">
        <w:t xml:space="preserve">PWS </w:t>
      </w:r>
      <w:r w:rsidR="00E91949">
        <w:t>broadcasting</w:t>
      </w:r>
      <w:r w:rsidR="00DF1167">
        <w:t xml:space="preserve"> for NB-IoT. </w:t>
      </w:r>
      <w:r w:rsidR="0051202F">
        <w:t xml:space="preserve"> </w:t>
      </w:r>
      <w:r w:rsidR="00B519B8">
        <w:t xml:space="preserve"> </w:t>
      </w:r>
      <w:r w:rsidR="007C5B71">
        <w:t xml:space="preserve"> </w:t>
      </w:r>
      <w:r>
        <w:t xml:space="preserve"> </w:t>
      </w:r>
    </w:p>
    <w:p w14:paraId="1FFDB4F3" w14:textId="3F64A85A" w:rsidR="004B521A" w:rsidRDefault="00DC6A61" w:rsidP="00CC769D">
      <w:pPr>
        <w:pStyle w:val="Heading1"/>
      </w:pPr>
      <w:r>
        <w:t>Discussion</w:t>
      </w:r>
    </w:p>
    <w:p w14:paraId="310D56C6" w14:textId="4DE5B9C7" w:rsidR="0088687D" w:rsidRPr="0025487E" w:rsidRDefault="0088687D" w:rsidP="0088687D">
      <w:pPr>
        <w:pStyle w:val="Heading2"/>
      </w:pPr>
      <w:r>
        <w:t>PWS broadcasting</w:t>
      </w:r>
    </w:p>
    <w:p w14:paraId="57FAAC99" w14:textId="0DA3FAC8" w:rsidR="0088687D" w:rsidRPr="0088687D" w:rsidRDefault="0088687D" w:rsidP="0088687D">
      <w:pPr>
        <w:rPr>
          <w:lang w:val="en-GB" w:eastAsia="en-US"/>
        </w:rPr>
      </w:pPr>
      <w:r>
        <w:rPr>
          <w:lang w:val="en-GB" w:eastAsia="en-US"/>
        </w:rPr>
        <w:t>Public Warning System broadcasting is a feature in 4G LTE and 5G NR that allows a network to broadcast public warning notifications. PWS supports Earthquake and Tsunami Warning System (ETWS) and Commercial Mobile Alert System (CMAS) messages which are sent over a set of System Information Blocks. ETWS uses the SIB10 and SIB11 in LTE and SIB</w:t>
      </w:r>
      <w:r w:rsidR="004D613C">
        <w:rPr>
          <w:lang w:val="en-GB" w:eastAsia="en-US"/>
        </w:rPr>
        <w:t>6</w:t>
      </w:r>
      <w:r>
        <w:rPr>
          <w:lang w:val="en-GB" w:eastAsia="en-US"/>
        </w:rPr>
        <w:t xml:space="preserve"> and SIB</w:t>
      </w:r>
      <w:r w:rsidR="004D613C">
        <w:rPr>
          <w:lang w:val="en-GB" w:eastAsia="en-US"/>
        </w:rPr>
        <w:t>7</w:t>
      </w:r>
      <w:r>
        <w:rPr>
          <w:lang w:val="en-GB" w:eastAsia="en-US"/>
        </w:rPr>
        <w:t xml:space="preserve"> in NR while CMAS uses SIB12 in LTE and SIB</w:t>
      </w:r>
      <w:r w:rsidR="004D613C">
        <w:rPr>
          <w:lang w:val="en-GB" w:eastAsia="en-US"/>
        </w:rPr>
        <w:t>8</w:t>
      </w:r>
      <w:r>
        <w:rPr>
          <w:lang w:val="en-GB" w:eastAsia="en-US"/>
        </w:rPr>
        <w:t xml:space="preserve"> in NR. </w:t>
      </w:r>
      <w:r w:rsidR="00095E65">
        <w:rPr>
          <w:lang w:val="en-GB" w:eastAsia="en-US"/>
        </w:rPr>
        <w:t xml:space="preserve">The network notifies UEs using Paging messages, which configures the UEs to acquire the related system information. The eNB or gNBs are configured via S1 or NG-AP to start broadcasting the PWS broadcasting. </w:t>
      </w:r>
    </w:p>
    <w:p w14:paraId="3DB7E796" w14:textId="13156301" w:rsidR="004B521A" w:rsidRPr="0025487E" w:rsidRDefault="004B521A" w:rsidP="004B521A">
      <w:pPr>
        <w:pStyle w:val="Heading2"/>
      </w:pPr>
      <w:r>
        <w:t>Idle mode operation</w:t>
      </w:r>
      <w:r w:rsidR="00437AD7">
        <w:t xml:space="preserve"> for PWS broadcasting</w:t>
      </w:r>
    </w:p>
    <w:p w14:paraId="65F0684D" w14:textId="4D11759F" w:rsidR="00D040E4" w:rsidRDefault="005E3FC9" w:rsidP="00AF4DB9">
      <w:pPr>
        <w:pStyle w:val="PatentBody"/>
        <w:numPr>
          <w:ilvl w:val="0"/>
          <w:numId w:val="0"/>
        </w:numPr>
        <w:spacing w:after="180" w:line="240" w:lineRule="auto"/>
        <w:jc w:val="both"/>
        <w:rPr>
          <w:sz w:val="20"/>
        </w:rPr>
      </w:pPr>
      <w:r>
        <w:rPr>
          <w:sz w:val="20"/>
        </w:rPr>
        <w:t>In eMTC and normal LTE, there are different types categories of cells that the UE may camp on. These are acceptable cells, suitable cells, b</w:t>
      </w:r>
      <w:r w:rsidR="00D040E4">
        <w:rPr>
          <w:sz w:val="20"/>
        </w:rPr>
        <w:t xml:space="preserve">arred cells and reserved cells, which can be summarized as follows: </w:t>
      </w:r>
    </w:p>
    <w:p w14:paraId="6A4652E0" w14:textId="5C88A53D" w:rsidR="00D040E4" w:rsidRPr="00153B46" w:rsidRDefault="00D040E4" w:rsidP="00D040E4">
      <w:pPr>
        <w:pStyle w:val="PatentBody"/>
        <w:numPr>
          <w:ilvl w:val="0"/>
          <w:numId w:val="13"/>
        </w:numPr>
        <w:spacing w:after="180" w:line="240" w:lineRule="auto"/>
        <w:jc w:val="both"/>
        <w:rPr>
          <w:b/>
          <w:sz w:val="20"/>
        </w:rPr>
      </w:pPr>
      <w:r w:rsidRPr="00153B46">
        <w:rPr>
          <w:b/>
          <w:sz w:val="20"/>
        </w:rPr>
        <w:t xml:space="preserve">Acceptable cell: </w:t>
      </w:r>
    </w:p>
    <w:p w14:paraId="01380003" w14:textId="7A80A71A" w:rsidR="00D040E4" w:rsidRDefault="00D040E4" w:rsidP="00D040E4">
      <w:pPr>
        <w:pStyle w:val="PatentBody"/>
        <w:numPr>
          <w:ilvl w:val="1"/>
          <w:numId w:val="13"/>
        </w:numPr>
        <w:spacing w:after="180" w:line="240" w:lineRule="auto"/>
        <w:jc w:val="both"/>
        <w:rPr>
          <w:sz w:val="20"/>
        </w:rPr>
      </w:pPr>
      <w:r>
        <w:rPr>
          <w:sz w:val="20"/>
        </w:rPr>
        <w:t>Is a cell that UE may camp on for limited service. Limited service is for emergency calls and to receive PWS signalling. The only criteria is that the cell is not barred and that the cell s</w:t>
      </w:r>
      <w:r w:rsidR="00AC089B">
        <w:rPr>
          <w:sz w:val="20"/>
        </w:rPr>
        <w:t xml:space="preserve">election criteria is fulfilled. </w:t>
      </w:r>
    </w:p>
    <w:p w14:paraId="2C0B6865" w14:textId="2AE71BAA" w:rsidR="00D040E4" w:rsidRPr="00153B46" w:rsidRDefault="00D040E4" w:rsidP="00D040E4">
      <w:pPr>
        <w:pStyle w:val="PatentBody"/>
        <w:numPr>
          <w:ilvl w:val="0"/>
          <w:numId w:val="13"/>
        </w:numPr>
        <w:spacing w:after="180" w:line="240" w:lineRule="auto"/>
        <w:jc w:val="both"/>
        <w:rPr>
          <w:b/>
          <w:sz w:val="20"/>
        </w:rPr>
      </w:pPr>
      <w:r w:rsidRPr="00153B46">
        <w:rPr>
          <w:b/>
          <w:sz w:val="20"/>
        </w:rPr>
        <w:t xml:space="preserve">Suitable cell: </w:t>
      </w:r>
    </w:p>
    <w:p w14:paraId="7F1D10D6" w14:textId="71753E3E" w:rsidR="00D040E4" w:rsidRDefault="00D040E4" w:rsidP="00D040E4">
      <w:pPr>
        <w:pStyle w:val="PatentBody"/>
        <w:numPr>
          <w:ilvl w:val="1"/>
          <w:numId w:val="13"/>
        </w:numPr>
        <w:spacing w:after="180" w:line="240" w:lineRule="auto"/>
        <w:jc w:val="both"/>
        <w:rPr>
          <w:sz w:val="20"/>
        </w:rPr>
      </w:pPr>
      <w:r>
        <w:rPr>
          <w:sz w:val="20"/>
        </w:rPr>
        <w:t xml:space="preserve">The cell is a part of the UEs PLMNs. This is the most common category of cells that a UE will camp on. The cell cannot be barred and the cell selection criteria need to be fulfilled. </w:t>
      </w:r>
    </w:p>
    <w:p w14:paraId="39E1BA8C" w14:textId="4E26AAFC" w:rsidR="00153B46" w:rsidRPr="00153B46" w:rsidRDefault="00153B46" w:rsidP="00153B46">
      <w:pPr>
        <w:pStyle w:val="PatentBody"/>
        <w:numPr>
          <w:ilvl w:val="0"/>
          <w:numId w:val="13"/>
        </w:numPr>
        <w:spacing w:after="180" w:line="240" w:lineRule="auto"/>
        <w:jc w:val="both"/>
        <w:rPr>
          <w:b/>
          <w:sz w:val="20"/>
        </w:rPr>
      </w:pPr>
      <w:r w:rsidRPr="00153B46">
        <w:rPr>
          <w:b/>
          <w:sz w:val="20"/>
        </w:rPr>
        <w:t xml:space="preserve">Barred cell: </w:t>
      </w:r>
    </w:p>
    <w:p w14:paraId="3C7A5C50" w14:textId="7AFE7DE4" w:rsidR="00153B46" w:rsidRDefault="00153B46" w:rsidP="00153B46">
      <w:pPr>
        <w:pStyle w:val="PatentBody"/>
        <w:numPr>
          <w:ilvl w:val="1"/>
          <w:numId w:val="13"/>
        </w:numPr>
        <w:spacing w:after="180" w:line="240" w:lineRule="auto"/>
        <w:jc w:val="both"/>
        <w:rPr>
          <w:sz w:val="20"/>
        </w:rPr>
      </w:pPr>
      <w:r>
        <w:rPr>
          <w:sz w:val="20"/>
        </w:rPr>
        <w:lastRenderedPageBreak/>
        <w:t xml:space="preserve">A barred cell, which may be according to system information or due to other procedures. UE cannot in any circumstances camp on the cell. </w:t>
      </w:r>
    </w:p>
    <w:p w14:paraId="2C9C4981" w14:textId="764B7636" w:rsidR="00153B46" w:rsidRPr="00153B46" w:rsidRDefault="00153B46" w:rsidP="00153B46">
      <w:pPr>
        <w:pStyle w:val="PatentBody"/>
        <w:numPr>
          <w:ilvl w:val="0"/>
          <w:numId w:val="13"/>
        </w:numPr>
        <w:spacing w:after="180" w:line="240" w:lineRule="auto"/>
        <w:jc w:val="both"/>
        <w:rPr>
          <w:b/>
          <w:sz w:val="20"/>
        </w:rPr>
      </w:pPr>
      <w:r w:rsidRPr="00153B46">
        <w:rPr>
          <w:b/>
          <w:sz w:val="20"/>
        </w:rPr>
        <w:t xml:space="preserve">Reserved cell: </w:t>
      </w:r>
    </w:p>
    <w:p w14:paraId="26DA49C8" w14:textId="5B44A6D2" w:rsidR="00D040E4" w:rsidRPr="00AC089B" w:rsidRDefault="00153B46" w:rsidP="00AC089B">
      <w:pPr>
        <w:pStyle w:val="PatentBody"/>
        <w:numPr>
          <w:ilvl w:val="1"/>
          <w:numId w:val="13"/>
        </w:numPr>
        <w:spacing w:after="180" w:line="240" w:lineRule="auto"/>
        <w:jc w:val="both"/>
        <w:rPr>
          <w:sz w:val="20"/>
        </w:rPr>
      </w:pPr>
      <w:r>
        <w:rPr>
          <w:sz w:val="20"/>
        </w:rPr>
        <w:t xml:space="preserve">May be indicated by system information. </w:t>
      </w:r>
    </w:p>
    <w:p w14:paraId="32C0A2A5" w14:textId="089EF65B" w:rsidR="00AC089B" w:rsidRDefault="00AC089B" w:rsidP="00AF4DB9">
      <w:pPr>
        <w:pStyle w:val="PatentBody"/>
        <w:numPr>
          <w:ilvl w:val="0"/>
          <w:numId w:val="0"/>
        </w:numPr>
        <w:spacing w:after="180" w:line="240" w:lineRule="auto"/>
        <w:jc w:val="both"/>
        <w:rPr>
          <w:sz w:val="20"/>
        </w:rPr>
      </w:pPr>
      <w:r>
        <w:rPr>
          <w:sz w:val="20"/>
        </w:rPr>
        <w:t xml:space="preserve">The procedure is usually that the UE searches for suitable cells and if the UE is unable to camp on a suitable cell, then the UE may search for acceptable cells. These acceptable cells are cells that are not within the UEs pre-configured PLMNs. </w:t>
      </w:r>
      <w:r w:rsidR="00B42627">
        <w:rPr>
          <w:sz w:val="20"/>
        </w:rPr>
        <w:t xml:space="preserve">The procedure to camp on any cell (acceptable cell) can be seen as part of the LTE idle mode procedures in Figure </w:t>
      </w:r>
      <w:r w:rsidR="0052382E">
        <w:rPr>
          <w:sz w:val="20"/>
        </w:rPr>
        <w:t>1</w:t>
      </w:r>
      <w:r w:rsidR="00B42627">
        <w:rPr>
          <w:sz w:val="20"/>
        </w:rPr>
        <w:t xml:space="preserve">. </w:t>
      </w:r>
      <w:r w:rsidR="00EA2B22">
        <w:rPr>
          <w:sz w:val="20"/>
        </w:rPr>
        <w:t xml:space="preserve">This is a very important part of cellular operation that users rely on daily. </w:t>
      </w:r>
    </w:p>
    <w:p w14:paraId="43E8E8D4" w14:textId="4D621835" w:rsidR="00EA2B22" w:rsidRDefault="00EA2B22" w:rsidP="00EA2B22">
      <w:pPr>
        <w:spacing w:after="60"/>
        <w:rPr>
          <w:b/>
        </w:rPr>
      </w:pPr>
      <w:r>
        <w:rPr>
          <w:b/>
        </w:rPr>
        <w:t xml:space="preserve">Observation 1: In eMTC and normal LTE, a UE can camp on an acceptable cell to receive PWS broadcasting and originate emergency calls. This is a crucial part of cellular operation that users rely on daily. </w:t>
      </w:r>
    </w:p>
    <w:p w14:paraId="73D4C079" w14:textId="77777777" w:rsidR="00EA2B22" w:rsidRDefault="00EA2B22" w:rsidP="00AF4DB9">
      <w:pPr>
        <w:pStyle w:val="PatentBody"/>
        <w:numPr>
          <w:ilvl w:val="0"/>
          <w:numId w:val="0"/>
        </w:numPr>
        <w:spacing w:after="180" w:line="240" w:lineRule="auto"/>
        <w:jc w:val="both"/>
        <w:rPr>
          <w:sz w:val="20"/>
        </w:rPr>
      </w:pPr>
    </w:p>
    <w:p w14:paraId="078BB774" w14:textId="77777777" w:rsidR="0052382E" w:rsidRDefault="00B42627" w:rsidP="0052382E">
      <w:pPr>
        <w:pStyle w:val="PatentBody"/>
        <w:keepNext/>
        <w:numPr>
          <w:ilvl w:val="0"/>
          <w:numId w:val="0"/>
        </w:numPr>
        <w:spacing w:after="180" w:line="240" w:lineRule="auto"/>
        <w:jc w:val="center"/>
      </w:pPr>
      <w:r w:rsidRPr="00B42627">
        <w:rPr>
          <w:noProof/>
          <w:sz w:val="20"/>
          <w:lang w:eastAsia="zh-CN"/>
        </w:rPr>
        <w:drawing>
          <wp:inline distT="0" distB="0" distL="0" distR="0" wp14:anchorId="3DA86125" wp14:editId="7FA398E9">
            <wp:extent cx="3019846" cy="4048690"/>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9846" cy="4048690"/>
                    </a:xfrm>
                    <a:prstGeom prst="rect">
                      <a:avLst/>
                    </a:prstGeom>
                  </pic:spPr>
                </pic:pic>
              </a:graphicData>
            </a:graphic>
          </wp:inline>
        </w:drawing>
      </w:r>
    </w:p>
    <w:p w14:paraId="65D0D5F2" w14:textId="2C360DFB" w:rsidR="00B42627" w:rsidRPr="00EE711D" w:rsidRDefault="0052382E" w:rsidP="0052382E">
      <w:pPr>
        <w:pStyle w:val="Caption"/>
        <w:jc w:val="center"/>
        <w:rPr>
          <w:i w:val="0"/>
          <w:sz w:val="20"/>
        </w:rPr>
      </w:pPr>
      <w:r w:rsidRPr="00EE711D">
        <w:rPr>
          <w:i w:val="0"/>
        </w:rPr>
        <w:t xml:space="preserve">Figure </w:t>
      </w:r>
      <w:r w:rsidRPr="00EE711D">
        <w:rPr>
          <w:i w:val="0"/>
        </w:rPr>
        <w:fldChar w:fldCharType="begin"/>
      </w:r>
      <w:r w:rsidRPr="00EE711D">
        <w:rPr>
          <w:i w:val="0"/>
        </w:rPr>
        <w:instrText xml:space="preserve"> SEQ Figure \* ARABIC </w:instrText>
      </w:r>
      <w:r w:rsidRPr="00EE711D">
        <w:rPr>
          <w:i w:val="0"/>
        </w:rPr>
        <w:fldChar w:fldCharType="separate"/>
      </w:r>
      <w:r w:rsidRPr="00EE711D">
        <w:rPr>
          <w:i w:val="0"/>
          <w:noProof/>
        </w:rPr>
        <w:t>1</w:t>
      </w:r>
      <w:r w:rsidRPr="00EE711D">
        <w:rPr>
          <w:i w:val="0"/>
        </w:rPr>
        <w:fldChar w:fldCharType="end"/>
      </w:r>
      <w:r w:rsidRPr="00EE711D">
        <w:rPr>
          <w:i w:val="0"/>
        </w:rPr>
        <w:t xml:space="preserve">. Procedure of going from camping on normal cell to camping on acceptable cell as part of idle mode procedures (from 5.2.2-1 from 36.304). </w:t>
      </w:r>
    </w:p>
    <w:p w14:paraId="761E35A2" w14:textId="682614A6" w:rsidR="00AC089B" w:rsidRDefault="00EA2B22" w:rsidP="00AF4DB9">
      <w:pPr>
        <w:pStyle w:val="PatentBody"/>
        <w:numPr>
          <w:ilvl w:val="0"/>
          <w:numId w:val="0"/>
        </w:numPr>
        <w:spacing w:after="180" w:line="240" w:lineRule="auto"/>
        <w:jc w:val="both"/>
        <w:rPr>
          <w:sz w:val="20"/>
        </w:rPr>
      </w:pPr>
      <w:r>
        <w:rPr>
          <w:sz w:val="20"/>
        </w:rPr>
        <w:t>As mentioned above, the cell category acceptable cell is for the purpose of camping on a cell for originating emergency calls and to receive PWS signalling. In NB-IoT, there are no standardized support for PWS signalling or emergency calls, as this was not part of the imagined NB-IoT use cases</w:t>
      </w:r>
      <w:r w:rsidR="00471E8E">
        <w:rPr>
          <w:sz w:val="20"/>
        </w:rPr>
        <w:t xml:space="preserve"> when NB-IoT was standardized in Release 13</w:t>
      </w:r>
      <w:r>
        <w:rPr>
          <w:sz w:val="20"/>
        </w:rPr>
        <w:t xml:space="preserve">. </w:t>
      </w:r>
    </w:p>
    <w:p w14:paraId="6E079F4A" w14:textId="167DF137" w:rsidR="00234F09" w:rsidRPr="00561C50" w:rsidRDefault="00561C50" w:rsidP="00561C50">
      <w:pPr>
        <w:spacing w:after="60"/>
        <w:rPr>
          <w:b/>
        </w:rPr>
      </w:pPr>
      <w:r>
        <w:rPr>
          <w:b/>
        </w:rPr>
        <w:t xml:space="preserve">Observation 2: NB-IoT did not introduce camping on any cell or an acceptable cell </w:t>
      </w:r>
      <w:r w:rsidR="00471E8E">
        <w:rPr>
          <w:b/>
        </w:rPr>
        <w:t xml:space="preserve">category </w:t>
      </w:r>
      <w:r>
        <w:rPr>
          <w:b/>
        </w:rPr>
        <w:t xml:space="preserve">as emergency calls or PWS signalling was never supported. </w:t>
      </w:r>
    </w:p>
    <w:p w14:paraId="2B6B51CF" w14:textId="0A5B1C28" w:rsidR="00234F09" w:rsidRDefault="00EA2B22" w:rsidP="00AF4DB9">
      <w:pPr>
        <w:pStyle w:val="PatentBody"/>
        <w:numPr>
          <w:ilvl w:val="0"/>
          <w:numId w:val="0"/>
        </w:numPr>
        <w:spacing w:after="180" w:line="240" w:lineRule="auto"/>
        <w:jc w:val="both"/>
        <w:rPr>
          <w:sz w:val="20"/>
        </w:rPr>
      </w:pPr>
      <w:r>
        <w:rPr>
          <w:sz w:val="20"/>
        </w:rPr>
        <w:t xml:space="preserve">However, now that PWS signalling is being introduced for emergency scenarios, the original rationale for not introducing camping on any cell or acceptable cells no longer hold true. Furthermore, there could </w:t>
      </w:r>
      <w:r w:rsidR="00561C50">
        <w:rPr>
          <w:sz w:val="20"/>
        </w:rPr>
        <w:t>be a real use of having the ability for users who are not a part of the cells PLMN to camp on an NB-IoT NTN cell to receive PWS signalling – in fact this can potentially save</w:t>
      </w:r>
      <w:r w:rsidR="006F3BE3">
        <w:rPr>
          <w:sz w:val="20"/>
        </w:rPr>
        <w:t xml:space="preserve"> lives in emergency situations. Without this, a large amount of NB-IoT UEs that are capable of receiving PWS signalling will not be able to receive it as the UEs are unable to even camp on the cell. </w:t>
      </w:r>
      <w:r w:rsidR="00EE711D">
        <w:rPr>
          <w:sz w:val="20"/>
        </w:rPr>
        <w:t xml:space="preserve">Therefore we propose: </w:t>
      </w:r>
    </w:p>
    <w:p w14:paraId="346B4B5B" w14:textId="2F9EDB6B" w:rsidR="00561C50" w:rsidRDefault="00561C50" w:rsidP="00561C50">
      <w:pPr>
        <w:spacing w:after="60"/>
        <w:rPr>
          <w:b/>
        </w:rPr>
      </w:pPr>
      <w:r>
        <w:rPr>
          <w:b/>
        </w:rPr>
        <w:lastRenderedPageBreak/>
        <w:t xml:space="preserve">Proposal </w:t>
      </w:r>
      <w:r w:rsidR="00B20ABB">
        <w:rPr>
          <w:b/>
        </w:rPr>
        <w:t>1</w:t>
      </w:r>
      <w:r>
        <w:rPr>
          <w:b/>
        </w:rPr>
        <w:t xml:space="preserve">: A UE shall be able to camp on an NB-IoT NTN cell for the purpose of receiving </w:t>
      </w:r>
      <w:r w:rsidR="00471E8E">
        <w:rPr>
          <w:b/>
        </w:rPr>
        <w:t>PWS</w:t>
      </w:r>
      <w:r>
        <w:rPr>
          <w:b/>
        </w:rPr>
        <w:t xml:space="preserve"> broadcast, without the cell being a part of UEs PLMNs. </w:t>
      </w:r>
    </w:p>
    <w:p w14:paraId="1336AF50" w14:textId="456D54CD" w:rsidR="00561C50" w:rsidRDefault="00B20ABB" w:rsidP="00561C50">
      <w:pPr>
        <w:spacing w:after="60"/>
        <w:rPr>
          <w:b/>
        </w:rPr>
      </w:pPr>
      <w:r>
        <w:rPr>
          <w:b/>
        </w:rPr>
        <w:t>Proposal 2</w:t>
      </w:r>
      <w:r w:rsidR="00561C50">
        <w:rPr>
          <w:b/>
        </w:rPr>
        <w:t>: RAN2 to discuss introducing acceptable cell category for NB-IoT</w:t>
      </w:r>
      <w:r w:rsidR="007F1D5F">
        <w:rPr>
          <w:b/>
        </w:rPr>
        <w:t xml:space="preserve"> NTN</w:t>
      </w:r>
      <w:r w:rsidR="00561C50">
        <w:rPr>
          <w:b/>
        </w:rPr>
        <w:t xml:space="preserve">. </w:t>
      </w:r>
    </w:p>
    <w:p w14:paraId="0C1D6225" w14:textId="724FC4DB" w:rsidR="000F3D2B" w:rsidRDefault="000F3D2B" w:rsidP="00AF4DB9">
      <w:pPr>
        <w:pStyle w:val="PatentBody"/>
        <w:numPr>
          <w:ilvl w:val="0"/>
          <w:numId w:val="0"/>
        </w:numPr>
        <w:spacing w:after="180" w:line="240" w:lineRule="auto"/>
        <w:jc w:val="both"/>
        <w:rPr>
          <w:sz w:val="20"/>
        </w:rPr>
      </w:pPr>
    </w:p>
    <w:p w14:paraId="5FF2457F" w14:textId="72E1A9E3" w:rsidR="00A209D6" w:rsidRPr="006E13D1" w:rsidRDefault="008C3057" w:rsidP="003F11FC">
      <w:pPr>
        <w:pStyle w:val="Heading1"/>
        <w:jc w:val="both"/>
      </w:pPr>
      <w:r>
        <w:t>Conclusion</w:t>
      </w:r>
    </w:p>
    <w:p w14:paraId="6B206649" w14:textId="7ADEB78E" w:rsidR="00C060FE" w:rsidRDefault="006D4D6F" w:rsidP="00FA3474">
      <w:pPr>
        <w:rPr>
          <w:lang w:eastAsia="ko-KR"/>
        </w:rPr>
      </w:pPr>
      <w:r w:rsidRPr="00F97E01">
        <w:rPr>
          <w:lang w:eastAsia="ko-KR"/>
        </w:rPr>
        <w:t xml:space="preserve">In this </w:t>
      </w:r>
      <w:r w:rsidR="004506C8" w:rsidRPr="00F97E01">
        <w:rPr>
          <w:lang w:eastAsia="ko-KR"/>
        </w:rPr>
        <w:t>contribution,</w:t>
      </w:r>
      <w:r w:rsidRPr="00F97E01">
        <w:rPr>
          <w:lang w:eastAsia="ko-KR"/>
        </w:rPr>
        <w:t xml:space="preserve"> we discuss</w:t>
      </w:r>
      <w:r w:rsidR="00793B9D">
        <w:rPr>
          <w:lang w:eastAsia="ko-KR"/>
        </w:rPr>
        <w:t>ed</w:t>
      </w:r>
      <w:r w:rsidRPr="00F97E01">
        <w:rPr>
          <w:lang w:eastAsia="ko-KR"/>
        </w:rPr>
        <w:t xml:space="preserve"> </w:t>
      </w:r>
      <w:r w:rsidR="002D59A1">
        <w:rPr>
          <w:lang w:eastAsia="ko-KR"/>
        </w:rPr>
        <w:t xml:space="preserve">issues </w:t>
      </w:r>
      <w:r w:rsidR="004506C8">
        <w:rPr>
          <w:lang w:eastAsia="ko-KR"/>
        </w:rPr>
        <w:t>related to PWS signaling for NB-IoT</w:t>
      </w:r>
      <w:r w:rsidR="002D59A1">
        <w:rPr>
          <w:lang w:eastAsia="ko-KR"/>
        </w:rPr>
        <w:t xml:space="preserve">. </w:t>
      </w:r>
    </w:p>
    <w:p w14:paraId="63D9B6F8" w14:textId="77777777" w:rsidR="00627D91" w:rsidRDefault="00627D91" w:rsidP="00627D91">
      <w:pPr>
        <w:spacing w:after="60"/>
        <w:rPr>
          <w:b/>
        </w:rPr>
      </w:pPr>
      <w:r>
        <w:rPr>
          <w:b/>
        </w:rPr>
        <w:t xml:space="preserve">Observation 1: In eMTC and normal LTE, a UE can camp on an acceptable cell to receive PWS broadcasting and originate emergency calls. This is a crucial part of cellular operation that users rely on daily. </w:t>
      </w:r>
    </w:p>
    <w:p w14:paraId="5418BFA0" w14:textId="77777777" w:rsidR="00627D91" w:rsidRPr="00561C50" w:rsidRDefault="00627D91" w:rsidP="00627D91">
      <w:pPr>
        <w:spacing w:after="60"/>
        <w:rPr>
          <w:b/>
        </w:rPr>
      </w:pPr>
      <w:r>
        <w:rPr>
          <w:b/>
        </w:rPr>
        <w:t xml:space="preserve">Observation 2: NB-IoT did not introduce camping on any cell or an acceptable cell as emergency calls or PWS signalling was never supported. </w:t>
      </w:r>
    </w:p>
    <w:p w14:paraId="1455F681" w14:textId="4CC979BD" w:rsidR="000E03FB" w:rsidRDefault="000E03FB" w:rsidP="000E03FB">
      <w:pPr>
        <w:spacing w:after="60"/>
        <w:rPr>
          <w:b/>
        </w:rPr>
      </w:pPr>
      <w:r>
        <w:rPr>
          <w:b/>
        </w:rPr>
        <w:t xml:space="preserve">Proposal 1: A UE shall be able to camp on an NB-IoT NTN cell for the purpose of receiving </w:t>
      </w:r>
      <w:r w:rsidR="00471E8E">
        <w:rPr>
          <w:b/>
        </w:rPr>
        <w:t xml:space="preserve">PWS </w:t>
      </w:r>
      <w:r>
        <w:rPr>
          <w:b/>
        </w:rPr>
        <w:t xml:space="preserve">broadcast, without the cell being a part of UEs PLMNs. </w:t>
      </w:r>
    </w:p>
    <w:p w14:paraId="40DE5D0C" w14:textId="77777777" w:rsidR="000E03FB" w:rsidRDefault="000E03FB" w:rsidP="000E03FB">
      <w:pPr>
        <w:spacing w:after="60"/>
        <w:rPr>
          <w:b/>
        </w:rPr>
      </w:pPr>
      <w:r>
        <w:rPr>
          <w:b/>
        </w:rPr>
        <w:t xml:space="preserve">Proposal 2: RAN2 to discuss introducing acceptable cell category for NB-IoT NTN. </w:t>
      </w:r>
    </w:p>
    <w:p w14:paraId="6408D72B" w14:textId="59651DF4" w:rsidR="0083484D" w:rsidRPr="00FF7C4E" w:rsidRDefault="00051DF8" w:rsidP="0083484D">
      <w:pPr>
        <w:pStyle w:val="Heading1"/>
      </w:pPr>
      <w:r>
        <w:t>Reference</w:t>
      </w:r>
      <w:r w:rsidR="0083484D" w:rsidRPr="00001886">
        <w:t xml:space="preserve"> </w:t>
      </w:r>
    </w:p>
    <w:p w14:paraId="5EBEF5DB" w14:textId="6F6DE6CA" w:rsidR="0049280D" w:rsidRPr="003D7E84" w:rsidRDefault="0049280D" w:rsidP="00BF409E">
      <w:pPr>
        <w:pStyle w:val="references"/>
        <w:spacing w:after="180" w:line="240" w:lineRule="auto"/>
        <w:rPr>
          <w:szCs w:val="20"/>
        </w:rPr>
      </w:pPr>
      <w:r>
        <w:rPr>
          <w:rFonts w:ascii="Arial" w:hAnsi="Arial" w:cs="Arial"/>
          <w:szCs w:val="20"/>
        </w:rPr>
        <w:t>RP-2</w:t>
      </w:r>
      <w:r w:rsidR="00561C50">
        <w:rPr>
          <w:rFonts w:ascii="Arial" w:hAnsi="Arial" w:cs="Arial"/>
          <w:szCs w:val="20"/>
        </w:rPr>
        <w:t>50472</w:t>
      </w:r>
      <w:r>
        <w:rPr>
          <w:rFonts w:ascii="Arial" w:hAnsi="Arial" w:cs="Arial"/>
          <w:szCs w:val="20"/>
        </w:rPr>
        <w:t>, Revised WID on Non-Terrestrial Networks (NTN) for Internet of Things (IoT) Phase 3, Mediatek, RAN#10</w:t>
      </w:r>
      <w:r w:rsidR="00561C50">
        <w:rPr>
          <w:rFonts w:ascii="Arial" w:hAnsi="Arial" w:cs="Arial"/>
          <w:szCs w:val="20"/>
        </w:rPr>
        <w:t>7</w:t>
      </w:r>
      <w:r>
        <w:rPr>
          <w:rFonts w:ascii="Arial" w:hAnsi="Arial" w:cs="Arial"/>
          <w:szCs w:val="20"/>
        </w:rPr>
        <w:t xml:space="preserve">, </w:t>
      </w:r>
      <w:r w:rsidR="00561C50">
        <w:rPr>
          <w:rFonts w:ascii="Arial" w:hAnsi="Arial" w:cs="Arial"/>
          <w:szCs w:val="20"/>
        </w:rPr>
        <w:t>Incheon, ROK</w:t>
      </w:r>
      <w:r w:rsidR="00D95760">
        <w:rPr>
          <w:rFonts w:ascii="Arial" w:hAnsi="Arial" w:cs="Arial"/>
          <w:szCs w:val="20"/>
        </w:rPr>
        <w:t xml:space="preserve">, </w:t>
      </w:r>
      <w:r w:rsidR="002431A6">
        <w:rPr>
          <w:rFonts w:ascii="Arial" w:hAnsi="Arial" w:cs="Arial"/>
          <w:szCs w:val="20"/>
        </w:rPr>
        <w:t>March 2025</w:t>
      </w:r>
      <w:r w:rsidR="00D95760">
        <w:rPr>
          <w:rFonts w:ascii="Arial" w:hAnsi="Arial" w:cs="Arial"/>
          <w:szCs w:val="20"/>
        </w:rPr>
        <w:t>.</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C2F705" w16cid:durableId="2AD658A4"/>
  <w16cid:commentId w16cid:paraId="38951D73" w16cid:durableId="2AD65D7C"/>
  <w16cid:commentId w16cid:paraId="42829FE4" w16cid:durableId="2AD65D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E7F5E" w14:textId="77777777" w:rsidR="002528A9" w:rsidRDefault="002528A9" w:rsidP="00051DF8">
      <w:r>
        <w:separator/>
      </w:r>
    </w:p>
  </w:endnote>
  <w:endnote w:type="continuationSeparator" w:id="0">
    <w:p w14:paraId="19425230" w14:textId="77777777" w:rsidR="002528A9" w:rsidRDefault="002528A9" w:rsidP="00051DF8">
      <w:r>
        <w:continuationSeparator/>
      </w:r>
    </w:p>
  </w:endnote>
  <w:endnote w:type="continuationNotice" w:id="1">
    <w:p w14:paraId="61453D01" w14:textId="77777777" w:rsidR="002528A9" w:rsidRDefault="002528A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820B2" w14:textId="77777777" w:rsidR="002528A9" w:rsidRDefault="002528A9" w:rsidP="00051DF8">
      <w:r>
        <w:separator/>
      </w:r>
    </w:p>
  </w:footnote>
  <w:footnote w:type="continuationSeparator" w:id="0">
    <w:p w14:paraId="09FE2539" w14:textId="77777777" w:rsidR="002528A9" w:rsidRDefault="002528A9" w:rsidP="00051DF8">
      <w:r>
        <w:continuationSeparator/>
      </w:r>
    </w:p>
  </w:footnote>
  <w:footnote w:type="continuationNotice" w:id="1">
    <w:p w14:paraId="2CF859F7" w14:textId="77777777" w:rsidR="002528A9" w:rsidRDefault="002528A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B72C20"/>
    <w:multiLevelType w:val="hybridMultilevel"/>
    <w:tmpl w:val="D4DA3842"/>
    <w:lvl w:ilvl="0" w:tplc="E4ECD58C">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8"/>
  </w:num>
  <w:num w:numId="6">
    <w:abstractNumId w:val="7"/>
  </w:num>
  <w:num w:numId="7">
    <w:abstractNumId w:val="0"/>
  </w:num>
  <w:num w:numId="8">
    <w:abstractNumId w:val="9"/>
  </w:num>
  <w:num w:numId="9">
    <w:abstractNumId w:val="4"/>
  </w:num>
  <w:num w:numId="10">
    <w:abstractNumId w:val="4"/>
  </w:num>
  <w:num w:numId="11">
    <w:abstractNumId w:val="4"/>
  </w:num>
  <w:num w:numId="12">
    <w:abstractNumId w:val="4"/>
  </w:num>
  <w:num w:numId="1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DBC"/>
    <w:rsid w:val="00064E50"/>
    <w:rsid w:val="00065268"/>
    <w:rsid w:val="00066951"/>
    <w:rsid w:val="00067854"/>
    <w:rsid w:val="00070BD9"/>
    <w:rsid w:val="00071C4F"/>
    <w:rsid w:val="00072646"/>
    <w:rsid w:val="00072D84"/>
    <w:rsid w:val="00073C9C"/>
    <w:rsid w:val="0007792A"/>
    <w:rsid w:val="00080512"/>
    <w:rsid w:val="00081240"/>
    <w:rsid w:val="000824A8"/>
    <w:rsid w:val="0008378E"/>
    <w:rsid w:val="00085269"/>
    <w:rsid w:val="00086753"/>
    <w:rsid w:val="00090468"/>
    <w:rsid w:val="00090CD4"/>
    <w:rsid w:val="000914AC"/>
    <w:rsid w:val="00094568"/>
    <w:rsid w:val="00094C18"/>
    <w:rsid w:val="00094C6B"/>
    <w:rsid w:val="00095044"/>
    <w:rsid w:val="00095E65"/>
    <w:rsid w:val="000A1EFC"/>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0D2"/>
    <w:rsid w:val="000D3336"/>
    <w:rsid w:val="000D4B95"/>
    <w:rsid w:val="000D58AB"/>
    <w:rsid w:val="000D64F1"/>
    <w:rsid w:val="000D6E3F"/>
    <w:rsid w:val="000D75DC"/>
    <w:rsid w:val="000E01FF"/>
    <w:rsid w:val="000E03FB"/>
    <w:rsid w:val="000E08A8"/>
    <w:rsid w:val="000E0D2A"/>
    <w:rsid w:val="000E22C8"/>
    <w:rsid w:val="000E3934"/>
    <w:rsid w:val="000E4069"/>
    <w:rsid w:val="000E5108"/>
    <w:rsid w:val="000E6808"/>
    <w:rsid w:val="000F3D2B"/>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37975"/>
    <w:rsid w:val="0014230B"/>
    <w:rsid w:val="00142E30"/>
    <w:rsid w:val="00143363"/>
    <w:rsid w:val="001436BC"/>
    <w:rsid w:val="001446F4"/>
    <w:rsid w:val="00145075"/>
    <w:rsid w:val="0014623B"/>
    <w:rsid w:val="0015006E"/>
    <w:rsid w:val="001500B8"/>
    <w:rsid w:val="00152D97"/>
    <w:rsid w:val="00153B46"/>
    <w:rsid w:val="001617E5"/>
    <w:rsid w:val="00161BC0"/>
    <w:rsid w:val="001644D9"/>
    <w:rsid w:val="00165A0D"/>
    <w:rsid w:val="00166728"/>
    <w:rsid w:val="0016769C"/>
    <w:rsid w:val="00170047"/>
    <w:rsid w:val="00171DA1"/>
    <w:rsid w:val="001741A0"/>
    <w:rsid w:val="00174291"/>
    <w:rsid w:val="00174398"/>
    <w:rsid w:val="00175FA0"/>
    <w:rsid w:val="00175FAB"/>
    <w:rsid w:val="001767C8"/>
    <w:rsid w:val="00180692"/>
    <w:rsid w:val="0018139B"/>
    <w:rsid w:val="00181483"/>
    <w:rsid w:val="00182E67"/>
    <w:rsid w:val="0018307F"/>
    <w:rsid w:val="00183778"/>
    <w:rsid w:val="001841BF"/>
    <w:rsid w:val="001845D5"/>
    <w:rsid w:val="00184F07"/>
    <w:rsid w:val="0018515E"/>
    <w:rsid w:val="00185529"/>
    <w:rsid w:val="00185BC1"/>
    <w:rsid w:val="00186138"/>
    <w:rsid w:val="00186370"/>
    <w:rsid w:val="00190972"/>
    <w:rsid w:val="00191EFD"/>
    <w:rsid w:val="001920E7"/>
    <w:rsid w:val="001921CE"/>
    <w:rsid w:val="00194515"/>
    <w:rsid w:val="00194CD0"/>
    <w:rsid w:val="0019500E"/>
    <w:rsid w:val="00195FB0"/>
    <w:rsid w:val="001962AF"/>
    <w:rsid w:val="00196550"/>
    <w:rsid w:val="0019695D"/>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32CA"/>
    <w:rsid w:val="001D6647"/>
    <w:rsid w:val="001E2E76"/>
    <w:rsid w:val="001E2FCC"/>
    <w:rsid w:val="001E44A9"/>
    <w:rsid w:val="001F168B"/>
    <w:rsid w:val="001F4157"/>
    <w:rsid w:val="001F7831"/>
    <w:rsid w:val="002013CD"/>
    <w:rsid w:val="00201BD1"/>
    <w:rsid w:val="00203174"/>
    <w:rsid w:val="00204045"/>
    <w:rsid w:val="00205F97"/>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3958"/>
    <w:rsid w:val="002346A7"/>
    <w:rsid w:val="00234C99"/>
    <w:rsid w:val="00234F09"/>
    <w:rsid w:val="0023661D"/>
    <w:rsid w:val="0024157F"/>
    <w:rsid w:val="00241AC5"/>
    <w:rsid w:val="002431A6"/>
    <w:rsid w:val="0024324A"/>
    <w:rsid w:val="00243B50"/>
    <w:rsid w:val="00243DE1"/>
    <w:rsid w:val="00244A05"/>
    <w:rsid w:val="002455B8"/>
    <w:rsid w:val="00247550"/>
    <w:rsid w:val="0025025C"/>
    <w:rsid w:val="002502EB"/>
    <w:rsid w:val="00250404"/>
    <w:rsid w:val="00250645"/>
    <w:rsid w:val="002508F7"/>
    <w:rsid w:val="002528A9"/>
    <w:rsid w:val="00252D6F"/>
    <w:rsid w:val="00254045"/>
    <w:rsid w:val="002540E1"/>
    <w:rsid w:val="0025487E"/>
    <w:rsid w:val="0025613A"/>
    <w:rsid w:val="00257070"/>
    <w:rsid w:val="0026074F"/>
    <w:rsid w:val="00260EC0"/>
    <w:rsid w:val="002610D8"/>
    <w:rsid w:val="002639EF"/>
    <w:rsid w:val="00266AF5"/>
    <w:rsid w:val="00266D49"/>
    <w:rsid w:val="002675D3"/>
    <w:rsid w:val="002709D8"/>
    <w:rsid w:val="00270A2B"/>
    <w:rsid w:val="00274274"/>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97702"/>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2AB7"/>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5919"/>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67989"/>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4B2A"/>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4F6"/>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364"/>
    <w:rsid w:val="00431669"/>
    <w:rsid w:val="0043208C"/>
    <w:rsid w:val="004322B3"/>
    <w:rsid w:val="00432BC9"/>
    <w:rsid w:val="00432BE2"/>
    <w:rsid w:val="00432F4A"/>
    <w:rsid w:val="00434571"/>
    <w:rsid w:val="00437AD7"/>
    <w:rsid w:val="00441FD9"/>
    <w:rsid w:val="004433CF"/>
    <w:rsid w:val="0044406B"/>
    <w:rsid w:val="0044738E"/>
    <w:rsid w:val="004506C8"/>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67A89"/>
    <w:rsid w:val="0047086C"/>
    <w:rsid w:val="00471E8E"/>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2A25"/>
    <w:rsid w:val="0049322D"/>
    <w:rsid w:val="004937F8"/>
    <w:rsid w:val="00493A0E"/>
    <w:rsid w:val="00496E33"/>
    <w:rsid w:val="004977B3"/>
    <w:rsid w:val="004A10EE"/>
    <w:rsid w:val="004A1F7B"/>
    <w:rsid w:val="004A3412"/>
    <w:rsid w:val="004A34B4"/>
    <w:rsid w:val="004A34E6"/>
    <w:rsid w:val="004A40FB"/>
    <w:rsid w:val="004B1812"/>
    <w:rsid w:val="004B18E1"/>
    <w:rsid w:val="004B2692"/>
    <w:rsid w:val="004B32EB"/>
    <w:rsid w:val="004B4EF1"/>
    <w:rsid w:val="004B521A"/>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13C"/>
    <w:rsid w:val="004D6C16"/>
    <w:rsid w:val="004D6FD4"/>
    <w:rsid w:val="004D7B60"/>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270A"/>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82E"/>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0E0"/>
    <w:rsid w:val="005525D5"/>
    <w:rsid w:val="0055422F"/>
    <w:rsid w:val="005545EE"/>
    <w:rsid w:val="005550E9"/>
    <w:rsid w:val="00555852"/>
    <w:rsid w:val="00557338"/>
    <w:rsid w:val="00561C50"/>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871E1"/>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3A0C"/>
    <w:rsid w:val="005B4B48"/>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5825"/>
    <w:rsid w:val="005D6E49"/>
    <w:rsid w:val="005D725F"/>
    <w:rsid w:val="005E15B1"/>
    <w:rsid w:val="005E28FB"/>
    <w:rsid w:val="005E3FC9"/>
    <w:rsid w:val="005F0D6D"/>
    <w:rsid w:val="005F0FB1"/>
    <w:rsid w:val="005F2403"/>
    <w:rsid w:val="005F2F16"/>
    <w:rsid w:val="005F7CE0"/>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6E2"/>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27D91"/>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55B6"/>
    <w:rsid w:val="006563B9"/>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3A7D"/>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A19A8"/>
    <w:rsid w:val="006A1A2B"/>
    <w:rsid w:val="006A242E"/>
    <w:rsid w:val="006A26F7"/>
    <w:rsid w:val="006A358E"/>
    <w:rsid w:val="006A416F"/>
    <w:rsid w:val="006A45A9"/>
    <w:rsid w:val="006A4A4B"/>
    <w:rsid w:val="006A6741"/>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29A9"/>
    <w:rsid w:val="006F3BE3"/>
    <w:rsid w:val="006F4552"/>
    <w:rsid w:val="006F4A1F"/>
    <w:rsid w:val="006F4C4E"/>
    <w:rsid w:val="006F69EC"/>
    <w:rsid w:val="006F6A2C"/>
    <w:rsid w:val="00701313"/>
    <w:rsid w:val="00701323"/>
    <w:rsid w:val="00701CD1"/>
    <w:rsid w:val="007029D0"/>
    <w:rsid w:val="00704BA9"/>
    <w:rsid w:val="00705BC0"/>
    <w:rsid w:val="00705EFC"/>
    <w:rsid w:val="007069DC"/>
    <w:rsid w:val="00710201"/>
    <w:rsid w:val="007102CD"/>
    <w:rsid w:val="0071056C"/>
    <w:rsid w:val="00710D4C"/>
    <w:rsid w:val="0071194B"/>
    <w:rsid w:val="0071198E"/>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4AAA"/>
    <w:rsid w:val="0073620F"/>
    <w:rsid w:val="00737B6B"/>
    <w:rsid w:val="00740C0A"/>
    <w:rsid w:val="00741328"/>
    <w:rsid w:val="00742288"/>
    <w:rsid w:val="00742482"/>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166"/>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6655"/>
    <w:rsid w:val="007E1392"/>
    <w:rsid w:val="007E26E9"/>
    <w:rsid w:val="007E2EF9"/>
    <w:rsid w:val="007E312F"/>
    <w:rsid w:val="007E34F3"/>
    <w:rsid w:val="007E390F"/>
    <w:rsid w:val="007E43E4"/>
    <w:rsid w:val="007E5517"/>
    <w:rsid w:val="007E648C"/>
    <w:rsid w:val="007E7952"/>
    <w:rsid w:val="007F03B5"/>
    <w:rsid w:val="007F09F2"/>
    <w:rsid w:val="007F1D5F"/>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6C8C"/>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3E36"/>
    <w:rsid w:val="00875EB1"/>
    <w:rsid w:val="008768CA"/>
    <w:rsid w:val="00877BFB"/>
    <w:rsid w:val="00877EF9"/>
    <w:rsid w:val="00880559"/>
    <w:rsid w:val="00880811"/>
    <w:rsid w:val="008818E2"/>
    <w:rsid w:val="00881B41"/>
    <w:rsid w:val="00882533"/>
    <w:rsid w:val="00883501"/>
    <w:rsid w:val="008849F5"/>
    <w:rsid w:val="0088687D"/>
    <w:rsid w:val="0088726A"/>
    <w:rsid w:val="008901EA"/>
    <w:rsid w:val="00890D75"/>
    <w:rsid w:val="00892166"/>
    <w:rsid w:val="00892D9D"/>
    <w:rsid w:val="00894B26"/>
    <w:rsid w:val="00895A0B"/>
    <w:rsid w:val="00895FC5"/>
    <w:rsid w:val="008961F0"/>
    <w:rsid w:val="00896CB6"/>
    <w:rsid w:val="008A092A"/>
    <w:rsid w:val="008A0A83"/>
    <w:rsid w:val="008A115B"/>
    <w:rsid w:val="008A163B"/>
    <w:rsid w:val="008A2511"/>
    <w:rsid w:val="008A2ABD"/>
    <w:rsid w:val="008A331F"/>
    <w:rsid w:val="008B3C42"/>
    <w:rsid w:val="008B4395"/>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49E0"/>
    <w:rsid w:val="008D61D6"/>
    <w:rsid w:val="008D6817"/>
    <w:rsid w:val="008E0988"/>
    <w:rsid w:val="008E198F"/>
    <w:rsid w:val="008E1D3C"/>
    <w:rsid w:val="008E4AF8"/>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44DA"/>
    <w:rsid w:val="0092601D"/>
    <w:rsid w:val="0092610E"/>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174"/>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3B7C"/>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3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554CA"/>
    <w:rsid w:val="00A607F6"/>
    <w:rsid w:val="00A60806"/>
    <w:rsid w:val="00A6319E"/>
    <w:rsid w:val="00A6351A"/>
    <w:rsid w:val="00A64AFF"/>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94B"/>
    <w:rsid w:val="00A9671C"/>
    <w:rsid w:val="00AA1553"/>
    <w:rsid w:val="00AA1BCE"/>
    <w:rsid w:val="00AA31E0"/>
    <w:rsid w:val="00AA4CA6"/>
    <w:rsid w:val="00AA4F5A"/>
    <w:rsid w:val="00AA51F6"/>
    <w:rsid w:val="00AA5A02"/>
    <w:rsid w:val="00AA610D"/>
    <w:rsid w:val="00AA63B6"/>
    <w:rsid w:val="00AA6D24"/>
    <w:rsid w:val="00AB11DA"/>
    <w:rsid w:val="00AB20DF"/>
    <w:rsid w:val="00AB29AB"/>
    <w:rsid w:val="00AB2C03"/>
    <w:rsid w:val="00AB3296"/>
    <w:rsid w:val="00AB364C"/>
    <w:rsid w:val="00AB3DDD"/>
    <w:rsid w:val="00AB4454"/>
    <w:rsid w:val="00AB5823"/>
    <w:rsid w:val="00AB6344"/>
    <w:rsid w:val="00AB7D15"/>
    <w:rsid w:val="00AC089B"/>
    <w:rsid w:val="00AC4D2C"/>
    <w:rsid w:val="00AC507F"/>
    <w:rsid w:val="00AC5D59"/>
    <w:rsid w:val="00AC6256"/>
    <w:rsid w:val="00AC6887"/>
    <w:rsid w:val="00AC6E95"/>
    <w:rsid w:val="00AD3082"/>
    <w:rsid w:val="00AD6A7F"/>
    <w:rsid w:val="00AE01A8"/>
    <w:rsid w:val="00AE5D2D"/>
    <w:rsid w:val="00AE743D"/>
    <w:rsid w:val="00AF1733"/>
    <w:rsid w:val="00AF1776"/>
    <w:rsid w:val="00AF371E"/>
    <w:rsid w:val="00AF4DB9"/>
    <w:rsid w:val="00AF5CA0"/>
    <w:rsid w:val="00AF649F"/>
    <w:rsid w:val="00AF7BE6"/>
    <w:rsid w:val="00AF7C5F"/>
    <w:rsid w:val="00B01F99"/>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0ABB"/>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262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31B3"/>
    <w:rsid w:val="00B65060"/>
    <w:rsid w:val="00B657DE"/>
    <w:rsid w:val="00B65AA8"/>
    <w:rsid w:val="00B6672E"/>
    <w:rsid w:val="00B66E42"/>
    <w:rsid w:val="00B70092"/>
    <w:rsid w:val="00B70804"/>
    <w:rsid w:val="00B710DA"/>
    <w:rsid w:val="00B726D8"/>
    <w:rsid w:val="00B72962"/>
    <w:rsid w:val="00B73674"/>
    <w:rsid w:val="00B7538C"/>
    <w:rsid w:val="00B75671"/>
    <w:rsid w:val="00B76953"/>
    <w:rsid w:val="00B8075F"/>
    <w:rsid w:val="00B84B49"/>
    <w:rsid w:val="00B84DB2"/>
    <w:rsid w:val="00B863F3"/>
    <w:rsid w:val="00B873FD"/>
    <w:rsid w:val="00B964C2"/>
    <w:rsid w:val="00B965D1"/>
    <w:rsid w:val="00BA18CB"/>
    <w:rsid w:val="00BA1A49"/>
    <w:rsid w:val="00BA2421"/>
    <w:rsid w:val="00BA55D1"/>
    <w:rsid w:val="00BA56A5"/>
    <w:rsid w:val="00BA56AC"/>
    <w:rsid w:val="00BA5FBC"/>
    <w:rsid w:val="00BA7338"/>
    <w:rsid w:val="00BB12BA"/>
    <w:rsid w:val="00BB15DE"/>
    <w:rsid w:val="00BB1F15"/>
    <w:rsid w:val="00BB2334"/>
    <w:rsid w:val="00BB242A"/>
    <w:rsid w:val="00BB2462"/>
    <w:rsid w:val="00BB2496"/>
    <w:rsid w:val="00BB3BBA"/>
    <w:rsid w:val="00BB7251"/>
    <w:rsid w:val="00BB7C42"/>
    <w:rsid w:val="00BC1BC3"/>
    <w:rsid w:val="00BC2CAC"/>
    <w:rsid w:val="00BC32E4"/>
    <w:rsid w:val="00BC3555"/>
    <w:rsid w:val="00BC69D2"/>
    <w:rsid w:val="00BD03E5"/>
    <w:rsid w:val="00BD26F1"/>
    <w:rsid w:val="00BD2CE9"/>
    <w:rsid w:val="00BD5D0A"/>
    <w:rsid w:val="00BD5D7E"/>
    <w:rsid w:val="00BD5F2B"/>
    <w:rsid w:val="00BD6B3F"/>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6C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2E02"/>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B65"/>
    <w:rsid w:val="00C869EA"/>
    <w:rsid w:val="00C86F10"/>
    <w:rsid w:val="00C87596"/>
    <w:rsid w:val="00C87AC0"/>
    <w:rsid w:val="00C9068C"/>
    <w:rsid w:val="00C91AC3"/>
    <w:rsid w:val="00C91F36"/>
    <w:rsid w:val="00C92831"/>
    <w:rsid w:val="00C92967"/>
    <w:rsid w:val="00C94794"/>
    <w:rsid w:val="00C95663"/>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C769D"/>
    <w:rsid w:val="00CD05A0"/>
    <w:rsid w:val="00CD0963"/>
    <w:rsid w:val="00CD0BA8"/>
    <w:rsid w:val="00CD14F3"/>
    <w:rsid w:val="00CD1D6A"/>
    <w:rsid w:val="00CD4948"/>
    <w:rsid w:val="00CD4A83"/>
    <w:rsid w:val="00CD4C7B"/>
    <w:rsid w:val="00CD4F02"/>
    <w:rsid w:val="00CD58FE"/>
    <w:rsid w:val="00CE08D1"/>
    <w:rsid w:val="00CE1B38"/>
    <w:rsid w:val="00CE31BB"/>
    <w:rsid w:val="00CE3B11"/>
    <w:rsid w:val="00CE7B23"/>
    <w:rsid w:val="00CF1441"/>
    <w:rsid w:val="00CF1E1A"/>
    <w:rsid w:val="00CF2423"/>
    <w:rsid w:val="00CF2EC4"/>
    <w:rsid w:val="00CF4D95"/>
    <w:rsid w:val="00CF6824"/>
    <w:rsid w:val="00CF73D9"/>
    <w:rsid w:val="00D00226"/>
    <w:rsid w:val="00D011CA"/>
    <w:rsid w:val="00D019F7"/>
    <w:rsid w:val="00D01A1A"/>
    <w:rsid w:val="00D020FC"/>
    <w:rsid w:val="00D038C1"/>
    <w:rsid w:val="00D040E4"/>
    <w:rsid w:val="00D06125"/>
    <w:rsid w:val="00D06188"/>
    <w:rsid w:val="00D12DDB"/>
    <w:rsid w:val="00D13D4E"/>
    <w:rsid w:val="00D15F30"/>
    <w:rsid w:val="00D1769D"/>
    <w:rsid w:val="00D24051"/>
    <w:rsid w:val="00D24C0D"/>
    <w:rsid w:val="00D26AD8"/>
    <w:rsid w:val="00D30635"/>
    <w:rsid w:val="00D30C9E"/>
    <w:rsid w:val="00D32165"/>
    <w:rsid w:val="00D32F85"/>
    <w:rsid w:val="00D33400"/>
    <w:rsid w:val="00D33BE3"/>
    <w:rsid w:val="00D33CDF"/>
    <w:rsid w:val="00D3498F"/>
    <w:rsid w:val="00D35DEB"/>
    <w:rsid w:val="00D36BBC"/>
    <w:rsid w:val="00D36C63"/>
    <w:rsid w:val="00D3792D"/>
    <w:rsid w:val="00D40BB8"/>
    <w:rsid w:val="00D43C85"/>
    <w:rsid w:val="00D43FB4"/>
    <w:rsid w:val="00D44D37"/>
    <w:rsid w:val="00D47CAD"/>
    <w:rsid w:val="00D507E3"/>
    <w:rsid w:val="00D51036"/>
    <w:rsid w:val="00D51BE4"/>
    <w:rsid w:val="00D52FC5"/>
    <w:rsid w:val="00D5475F"/>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588"/>
    <w:rsid w:val="00D76809"/>
    <w:rsid w:val="00D7685B"/>
    <w:rsid w:val="00D80795"/>
    <w:rsid w:val="00D81114"/>
    <w:rsid w:val="00D83E38"/>
    <w:rsid w:val="00D843A6"/>
    <w:rsid w:val="00D854BE"/>
    <w:rsid w:val="00D87009"/>
    <w:rsid w:val="00D87E00"/>
    <w:rsid w:val="00D9134D"/>
    <w:rsid w:val="00D92DA4"/>
    <w:rsid w:val="00D93832"/>
    <w:rsid w:val="00D93914"/>
    <w:rsid w:val="00D95760"/>
    <w:rsid w:val="00D9600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F02"/>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1167"/>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4C81"/>
    <w:rsid w:val="00E1589E"/>
    <w:rsid w:val="00E15BD7"/>
    <w:rsid w:val="00E16BF5"/>
    <w:rsid w:val="00E20D9E"/>
    <w:rsid w:val="00E21934"/>
    <w:rsid w:val="00E22129"/>
    <w:rsid w:val="00E223EE"/>
    <w:rsid w:val="00E24C00"/>
    <w:rsid w:val="00E253C2"/>
    <w:rsid w:val="00E262F2"/>
    <w:rsid w:val="00E26957"/>
    <w:rsid w:val="00E31765"/>
    <w:rsid w:val="00E37E4F"/>
    <w:rsid w:val="00E41B53"/>
    <w:rsid w:val="00E41C0F"/>
    <w:rsid w:val="00E41F8E"/>
    <w:rsid w:val="00E44801"/>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0CC2"/>
    <w:rsid w:val="00E91949"/>
    <w:rsid w:val="00E94C66"/>
    <w:rsid w:val="00E94D04"/>
    <w:rsid w:val="00E9509D"/>
    <w:rsid w:val="00E96CD0"/>
    <w:rsid w:val="00E96F95"/>
    <w:rsid w:val="00E97F72"/>
    <w:rsid w:val="00EA0DCF"/>
    <w:rsid w:val="00EA12F9"/>
    <w:rsid w:val="00EA2B22"/>
    <w:rsid w:val="00EA3E27"/>
    <w:rsid w:val="00EA494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E711D"/>
    <w:rsid w:val="00EF0660"/>
    <w:rsid w:val="00EF0AF1"/>
    <w:rsid w:val="00EF0C39"/>
    <w:rsid w:val="00EF0DB9"/>
    <w:rsid w:val="00EF612C"/>
    <w:rsid w:val="00F00357"/>
    <w:rsid w:val="00F00A10"/>
    <w:rsid w:val="00F01C6C"/>
    <w:rsid w:val="00F01C7D"/>
    <w:rsid w:val="00F0200B"/>
    <w:rsid w:val="00F025A2"/>
    <w:rsid w:val="00F03594"/>
    <w:rsid w:val="00F036E9"/>
    <w:rsid w:val="00F0382B"/>
    <w:rsid w:val="00F043D1"/>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ADE"/>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4FFC"/>
    <w:rsid w:val="00FC7E40"/>
    <w:rsid w:val="00FD0A57"/>
    <w:rsid w:val="00FD2C9E"/>
    <w:rsid w:val="00FD385D"/>
    <w:rsid w:val="00FD6EDB"/>
    <w:rsid w:val="00FD70B9"/>
    <w:rsid w:val="00FE106D"/>
    <w:rsid w:val="00FE1C0F"/>
    <w:rsid w:val="00FE251B"/>
    <w:rsid w:val="00FE520E"/>
    <w:rsid w:val="00FE5400"/>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9744DE5"/>
  <w15:chartTrackingRefBased/>
  <w15:docId w15:val="{07B7C5E0-47C5-4013-83E0-4833EBE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323BC-594E-4F75-BC49-AFCE9D0C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928</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cp:revision>
  <dcterms:created xsi:type="dcterms:W3CDTF">2025-05-08T22:40:00Z</dcterms:created>
  <dcterms:modified xsi:type="dcterms:W3CDTF">2025-05-08T22:41:00Z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